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4D6F" w14:textId="39DD2CFA" w:rsidR="00D223DB" w:rsidRPr="00D223DB" w:rsidRDefault="00D223DB" w:rsidP="00D223D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D223DB">
        <w:rPr>
          <w:rFonts w:ascii="Tahoma" w:hAnsi="Tahoma" w:cs="Tahoma"/>
          <w:b/>
          <w:bCs/>
          <w:sz w:val="24"/>
          <w:szCs w:val="24"/>
        </w:rPr>
        <w:t>Održana 7. sjednica Općinskog vijeća Vitez</w:t>
      </w:r>
    </w:p>
    <w:p w14:paraId="107577BA" w14:textId="2D0E4CDA" w:rsidR="00D223DB" w:rsidRPr="00D223DB" w:rsidRDefault="00D223DB" w:rsidP="00D223DB">
      <w:pPr>
        <w:jc w:val="both"/>
        <w:rPr>
          <w:rFonts w:ascii="Tahoma" w:hAnsi="Tahoma" w:cs="Tahoma"/>
          <w:sz w:val="24"/>
          <w:szCs w:val="24"/>
        </w:rPr>
      </w:pPr>
      <w:r w:rsidRPr="00D223DB">
        <w:rPr>
          <w:rFonts w:ascii="Tahoma" w:hAnsi="Tahoma" w:cs="Tahoma"/>
          <w:sz w:val="24"/>
          <w:szCs w:val="24"/>
        </w:rPr>
        <w:t xml:space="preserve">U srijedu, 2.7.2025. godine, u Vitezu je održana 7. sjednica Općinskog vijeća Vitez. Vijećnici su na sjednici razmatrali i usvojili ključne dokumente za </w:t>
      </w:r>
      <w:r w:rsidR="008148AE">
        <w:rPr>
          <w:rFonts w:ascii="Tahoma" w:hAnsi="Tahoma" w:cs="Tahoma"/>
          <w:sz w:val="24"/>
          <w:szCs w:val="24"/>
        </w:rPr>
        <w:t>budžetsko</w:t>
      </w:r>
      <w:r w:rsidRPr="00D223DB">
        <w:rPr>
          <w:rFonts w:ascii="Tahoma" w:hAnsi="Tahoma" w:cs="Tahoma"/>
          <w:sz w:val="24"/>
          <w:szCs w:val="24"/>
        </w:rPr>
        <w:t xml:space="preserve"> planiranje, uključujući Informaciju o dokumentu Okvirnog </w:t>
      </w:r>
      <w:r w:rsidR="008148AE">
        <w:rPr>
          <w:rFonts w:ascii="Tahoma" w:hAnsi="Tahoma" w:cs="Tahoma"/>
          <w:sz w:val="24"/>
          <w:szCs w:val="24"/>
        </w:rPr>
        <w:t>budžeta</w:t>
      </w:r>
      <w:r w:rsidRPr="00D223DB">
        <w:rPr>
          <w:rFonts w:ascii="Tahoma" w:hAnsi="Tahoma" w:cs="Tahoma"/>
          <w:sz w:val="24"/>
          <w:szCs w:val="24"/>
        </w:rPr>
        <w:t xml:space="preserve"> za razdoblje 2026. – 2028. godine te Operativni </w:t>
      </w:r>
      <w:r w:rsidR="008148AE">
        <w:rPr>
          <w:rFonts w:ascii="Tahoma" w:hAnsi="Tahoma" w:cs="Tahoma"/>
          <w:sz w:val="24"/>
          <w:szCs w:val="24"/>
        </w:rPr>
        <w:t>budžetski</w:t>
      </w:r>
      <w:r w:rsidRPr="00D223DB">
        <w:rPr>
          <w:rFonts w:ascii="Tahoma" w:hAnsi="Tahoma" w:cs="Tahoma"/>
          <w:sz w:val="24"/>
          <w:szCs w:val="24"/>
        </w:rPr>
        <w:t xml:space="preserve"> kalendar za izradu </w:t>
      </w:r>
      <w:r w:rsidR="008148AE">
        <w:rPr>
          <w:rFonts w:ascii="Tahoma" w:hAnsi="Tahoma" w:cs="Tahoma"/>
          <w:sz w:val="24"/>
          <w:szCs w:val="24"/>
        </w:rPr>
        <w:t>budžeta</w:t>
      </w:r>
      <w:r w:rsidRPr="00D223DB">
        <w:rPr>
          <w:rFonts w:ascii="Tahoma" w:hAnsi="Tahoma" w:cs="Tahoma"/>
          <w:sz w:val="24"/>
          <w:szCs w:val="24"/>
        </w:rPr>
        <w:t xml:space="preserve"> za 2026. godinu.</w:t>
      </w:r>
    </w:p>
    <w:p w14:paraId="7CF870BA" w14:textId="32B6BFB1" w:rsidR="00D223DB" w:rsidRPr="00D223DB" w:rsidRDefault="00D223DB" w:rsidP="00D223DB">
      <w:pPr>
        <w:jc w:val="both"/>
        <w:rPr>
          <w:rFonts w:ascii="Tahoma" w:hAnsi="Tahoma" w:cs="Tahoma"/>
          <w:sz w:val="24"/>
          <w:szCs w:val="24"/>
        </w:rPr>
      </w:pPr>
      <w:r w:rsidRPr="00D223DB">
        <w:rPr>
          <w:rFonts w:ascii="Tahoma" w:hAnsi="Tahoma" w:cs="Tahoma"/>
          <w:sz w:val="24"/>
          <w:szCs w:val="24"/>
        </w:rPr>
        <w:t xml:space="preserve">Dokument okvirnog </w:t>
      </w:r>
      <w:r w:rsidR="008148AE">
        <w:rPr>
          <w:rFonts w:ascii="Tahoma" w:hAnsi="Tahoma" w:cs="Tahoma"/>
          <w:sz w:val="24"/>
          <w:szCs w:val="24"/>
        </w:rPr>
        <w:t>budžeta</w:t>
      </w:r>
      <w:r w:rsidR="008148AE" w:rsidRPr="00D223DB">
        <w:rPr>
          <w:rFonts w:ascii="Tahoma" w:hAnsi="Tahoma" w:cs="Tahoma"/>
          <w:sz w:val="24"/>
          <w:szCs w:val="24"/>
        </w:rPr>
        <w:t xml:space="preserve"> </w:t>
      </w:r>
      <w:r w:rsidRPr="00D223DB">
        <w:rPr>
          <w:rFonts w:ascii="Tahoma" w:hAnsi="Tahoma" w:cs="Tahoma"/>
          <w:sz w:val="24"/>
          <w:szCs w:val="24"/>
        </w:rPr>
        <w:t xml:space="preserve">predstavlja polaznu osnovu za izradu </w:t>
      </w:r>
      <w:r w:rsidR="008148AE">
        <w:rPr>
          <w:rFonts w:ascii="Tahoma" w:hAnsi="Tahoma" w:cs="Tahoma"/>
          <w:sz w:val="24"/>
          <w:szCs w:val="24"/>
        </w:rPr>
        <w:t>budžeta</w:t>
      </w:r>
      <w:r w:rsidR="008148AE" w:rsidRPr="00D223DB">
        <w:rPr>
          <w:rFonts w:ascii="Tahoma" w:hAnsi="Tahoma" w:cs="Tahoma"/>
          <w:sz w:val="24"/>
          <w:szCs w:val="24"/>
        </w:rPr>
        <w:t xml:space="preserve"> </w:t>
      </w:r>
      <w:r w:rsidRPr="00D223DB">
        <w:rPr>
          <w:rFonts w:ascii="Tahoma" w:hAnsi="Tahoma" w:cs="Tahoma"/>
          <w:sz w:val="24"/>
          <w:szCs w:val="24"/>
        </w:rPr>
        <w:t xml:space="preserve">općine za 2026. godinu i procjenu za 2027. i 2028. godinu, pri čemu se vodila </w:t>
      </w:r>
      <w:r w:rsidR="008148AE">
        <w:rPr>
          <w:rFonts w:ascii="Tahoma" w:hAnsi="Tahoma" w:cs="Tahoma"/>
          <w:sz w:val="24"/>
          <w:szCs w:val="24"/>
        </w:rPr>
        <w:t>pažnja</w:t>
      </w:r>
      <w:r w:rsidRPr="00D223DB">
        <w:rPr>
          <w:rFonts w:ascii="Tahoma" w:hAnsi="Tahoma" w:cs="Tahoma"/>
          <w:sz w:val="24"/>
          <w:szCs w:val="24"/>
        </w:rPr>
        <w:t xml:space="preserve"> o podacima Direkcije za ekonomsko planiranje BiH uključujući predviđeni realni rast  BDP</w:t>
      </w:r>
      <w:r>
        <w:rPr>
          <w:rFonts w:ascii="Tahoma" w:hAnsi="Tahoma" w:cs="Tahoma"/>
          <w:sz w:val="24"/>
          <w:szCs w:val="24"/>
        </w:rPr>
        <w:t>-a</w:t>
      </w:r>
      <w:r w:rsidRPr="00D223DB">
        <w:rPr>
          <w:rFonts w:ascii="Tahoma" w:hAnsi="Tahoma" w:cs="Tahoma"/>
          <w:sz w:val="24"/>
          <w:szCs w:val="24"/>
        </w:rPr>
        <w:t xml:space="preserve">, porast potrošnje, investicija i kretanja inflacije. </w:t>
      </w:r>
    </w:p>
    <w:p w14:paraId="4E22E197" w14:textId="03BF26A6" w:rsidR="00D223DB" w:rsidRPr="00D223DB" w:rsidRDefault="00D223DB" w:rsidP="00D223DB">
      <w:pPr>
        <w:jc w:val="both"/>
        <w:rPr>
          <w:rFonts w:ascii="Tahoma" w:hAnsi="Tahoma" w:cs="Tahoma"/>
          <w:sz w:val="24"/>
          <w:szCs w:val="24"/>
        </w:rPr>
      </w:pPr>
      <w:r w:rsidRPr="00D223DB">
        <w:rPr>
          <w:rFonts w:ascii="Tahoma" w:hAnsi="Tahoma" w:cs="Tahoma"/>
          <w:sz w:val="24"/>
          <w:szCs w:val="24"/>
        </w:rPr>
        <w:t xml:space="preserve">Usvojeni su i prijedlozi rješenja o imenovanju općinskog pravobranitelja i zamjenika pravobranitelja za općine Vitez i Busovača, a sve nakon provedene potrebne procedure. Damir Trako, diplomirani pravnik iz Viteza imenovan je općinskim pravobraniteljem u Općinskom </w:t>
      </w:r>
      <w:r w:rsidR="008148AE">
        <w:rPr>
          <w:rFonts w:ascii="Tahoma" w:hAnsi="Tahoma" w:cs="Tahoma"/>
          <w:sz w:val="24"/>
          <w:szCs w:val="24"/>
        </w:rPr>
        <w:t>pravobranilaštvu</w:t>
      </w:r>
      <w:r w:rsidRPr="00D223DB">
        <w:rPr>
          <w:rFonts w:ascii="Tahoma" w:hAnsi="Tahoma" w:cs="Tahoma"/>
          <w:sz w:val="24"/>
          <w:szCs w:val="24"/>
        </w:rPr>
        <w:t xml:space="preserve"> Vitez za područje općine Vitez i općine Busovača, dok je </w:t>
      </w:r>
      <w:r w:rsidRPr="00D223DB">
        <w:rPr>
          <w:rFonts w:ascii="Tahoma" w:hAnsi="Tahoma" w:cs="Tahoma"/>
          <w:sz w:val="24"/>
          <w:szCs w:val="24"/>
          <w:lang w:val="bs-Latn-BA"/>
        </w:rPr>
        <w:t>Aida Ćosić, diplomiran</w:t>
      </w:r>
      <w:r w:rsidRPr="00D223DB">
        <w:rPr>
          <w:rFonts w:ascii="Tahoma" w:hAnsi="Tahoma" w:cs="Tahoma"/>
          <w:sz w:val="24"/>
          <w:szCs w:val="24"/>
        </w:rPr>
        <w:t>a</w:t>
      </w:r>
      <w:r w:rsidRPr="00D223DB">
        <w:rPr>
          <w:rFonts w:ascii="Tahoma" w:hAnsi="Tahoma" w:cs="Tahoma"/>
          <w:sz w:val="24"/>
          <w:szCs w:val="24"/>
          <w:lang w:val="bs-Latn-BA"/>
        </w:rPr>
        <w:t xml:space="preserve"> pravni</w:t>
      </w:r>
      <w:r w:rsidRPr="00D223DB">
        <w:rPr>
          <w:rFonts w:ascii="Tahoma" w:hAnsi="Tahoma" w:cs="Tahoma"/>
          <w:sz w:val="24"/>
          <w:szCs w:val="24"/>
        </w:rPr>
        <w:t>ca</w:t>
      </w:r>
      <w:r w:rsidRPr="00D223DB">
        <w:rPr>
          <w:rFonts w:ascii="Tahoma" w:hAnsi="Tahoma" w:cs="Tahoma"/>
          <w:sz w:val="24"/>
          <w:szCs w:val="24"/>
          <w:lang w:val="bs-Latn-BA"/>
        </w:rPr>
        <w:t xml:space="preserve"> iz Busovače </w:t>
      </w:r>
      <w:r w:rsidRPr="00D223DB">
        <w:rPr>
          <w:rFonts w:ascii="Tahoma" w:hAnsi="Tahoma" w:cs="Tahoma"/>
          <w:sz w:val="24"/>
          <w:szCs w:val="24"/>
        </w:rPr>
        <w:t xml:space="preserve">imenovana </w:t>
      </w:r>
      <w:r w:rsidRPr="00D223DB">
        <w:rPr>
          <w:rFonts w:ascii="Tahoma" w:hAnsi="Tahoma" w:cs="Tahoma"/>
          <w:sz w:val="24"/>
          <w:szCs w:val="24"/>
          <w:lang w:val="bs-Latn-BA"/>
        </w:rPr>
        <w:t>za zamjenika pravobranitelja</w:t>
      </w:r>
      <w:r w:rsidRPr="00D223DB">
        <w:rPr>
          <w:rFonts w:ascii="Tahoma" w:hAnsi="Tahoma" w:cs="Tahoma"/>
          <w:sz w:val="24"/>
          <w:szCs w:val="24"/>
        </w:rPr>
        <w:t>.</w:t>
      </w:r>
    </w:p>
    <w:p w14:paraId="19FDBF2C" w14:textId="13D849FF" w:rsidR="00D223DB" w:rsidRPr="00D223DB" w:rsidRDefault="00D223DB" w:rsidP="00D223DB">
      <w:pPr>
        <w:jc w:val="both"/>
        <w:rPr>
          <w:rFonts w:ascii="Tahoma" w:hAnsi="Tahoma" w:cs="Tahoma"/>
          <w:sz w:val="24"/>
          <w:szCs w:val="24"/>
        </w:rPr>
      </w:pPr>
      <w:r w:rsidRPr="00D223DB">
        <w:rPr>
          <w:rFonts w:ascii="Tahoma" w:hAnsi="Tahoma" w:cs="Tahoma"/>
          <w:sz w:val="24"/>
          <w:szCs w:val="24"/>
        </w:rPr>
        <w:t xml:space="preserve">Na sjednici su </w:t>
      </w:r>
      <w:r>
        <w:rPr>
          <w:rFonts w:ascii="Tahoma" w:hAnsi="Tahoma" w:cs="Tahoma"/>
          <w:sz w:val="24"/>
          <w:szCs w:val="24"/>
        </w:rPr>
        <w:t xml:space="preserve">vijećnici </w:t>
      </w:r>
      <w:r w:rsidRPr="00D223DB">
        <w:rPr>
          <w:rFonts w:ascii="Tahoma" w:hAnsi="Tahoma" w:cs="Tahoma"/>
          <w:sz w:val="24"/>
          <w:szCs w:val="24"/>
        </w:rPr>
        <w:t>razmatrali i dali s</w:t>
      </w:r>
      <w:r w:rsidR="008148AE">
        <w:rPr>
          <w:rFonts w:ascii="Tahoma" w:hAnsi="Tahoma" w:cs="Tahoma"/>
          <w:sz w:val="24"/>
          <w:szCs w:val="24"/>
        </w:rPr>
        <w:t>a</w:t>
      </w:r>
      <w:r w:rsidRPr="00D223DB">
        <w:rPr>
          <w:rFonts w:ascii="Tahoma" w:hAnsi="Tahoma" w:cs="Tahoma"/>
          <w:sz w:val="24"/>
          <w:szCs w:val="24"/>
        </w:rPr>
        <w:t xml:space="preserve">glasnost na Program rada JU </w:t>
      </w:r>
      <w:r w:rsidR="008148AE">
        <w:rPr>
          <w:rFonts w:ascii="Tahoma" w:hAnsi="Tahoma" w:cs="Tahoma"/>
          <w:sz w:val="24"/>
          <w:szCs w:val="24"/>
        </w:rPr>
        <w:t>„</w:t>
      </w:r>
      <w:r w:rsidRPr="00D223DB">
        <w:rPr>
          <w:rFonts w:ascii="Tahoma" w:hAnsi="Tahoma" w:cs="Tahoma"/>
          <w:sz w:val="24"/>
          <w:szCs w:val="24"/>
        </w:rPr>
        <w:t>Dječji vrtić</w:t>
      </w:r>
      <w:r w:rsidR="008148AE">
        <w:rPr>
          <w:rFonts w:ascii="Tahoma" w:hAnsi="Tahoma" w:cs="Tahoma"/>
          <w:sz w:val="24"/>
          <w:szCs w:val="24"/>
        </w:rPr>
        <w:t>“</w:t>
      </w:r>
      <w:r w:rsidRPr="00D223DB">
        <w:rPr>
          <w:rFonts w:ascii="Tahoma" w:hAnsi="Tahoma" w:cs="Tahoma"/>
          <w:sz w:val="24"/>
          <w:szCs w:val="24"/>
        </w:rPr>
        <w:t xml:space="preserve"> Vitez s finan</w:t>
      </w:r>
      <w:r w:rsidR="008148AE">
        <w:rPr>
          <w:rFonts w:ascii="Tahoma" w:hAnsi="Tahoma" w:cs="Tahoma"/>
          <w:sz w:val="24"/>
          <w:szCs w:val="24"/>
        </w:rPr>
        <w:t>s</w:t>
      </w:r>
      <w:r w:rsidRPr="00D223DB">
        <w:rPr>
          <w:rFonts w:ascii="Tahoma" w:hAnsi="Tahoma" w:cs="Tahoma"/>
          <w:sz w:val="24"/>
          <w:szCs w:val="24"/>
        </w:rPr>
        <w:t xml:space="preserve">ijskim planom za 2025. godinu, </w:t>
      </w:r>
      <w:r w:rsidR="008148AE">
        <w:rPr>
          <w:rFonts w:ascii="Tahoma" w:hAnsi="Tahoma" w:cs="Tahoma"/>
          <w:sz w:val="24"/>
          <w:szCs w:val="24"/>
        </w:rPr>
        <w:t>Izvještaj</w:t>
      </w:r>
      <w:r w:rsidRPr="00D223DB">
        <w:rPr>
          <w:rFonts w:ascii="Tahoma" w:hAnsi="Tahoma" w:cs="Tahoma"/>
          <w:sz w:val="24"/>
          <w:szCs w:val="24"/>
        </w:rPr>
        <w:t xml:space="preserve"> o radu JU </w:t>
      </w:r>
      <w:r w:rsidR="008148AE">
        <w:rPr>
          <w:rFonts w:ascii="Tahoma" w:hAnsi="Tahoma" w:cs="Tahoma"/>
          <w:sz w:val="24"/>
          <w:szCs w:val="24"/>
        </w:rPr>
        <w:t>„</w:t>
      </w:r>
      <w:r w:rsidRPr="00D223DB">
        <w:rPr>
          <w:rFonts w:ascii="Tahoma" w:hAnsi="Tahoma" w:cs="Tahoma"/>
          <w:sz w:val="24"/>
          <w:szCs w:val="24"/>
        </w:rPr>
        <w:t>Dječji vrtić</w:t>
      </w:r>
      <w:r w:rsidR="008148AE">
        <w:rPr>
          <w:rFonts w:ascii="Tahoma" w:hAnsi="Tahoma" w:cs="Tahoma"/>
          <w:sz w:val="24"/>
          <w:szCs w:val="24"/>
        </w:rPr>
        <w:t>“</w:t>
      </w:r>
      <w:r w:rsidRPr="00D223DB">
        <w:rPr>
          <w:rFonts w:ascii="Tahoma" w:hAnsi="Tahoma" w:cs="Tahoma"/>
          <w:sz w:val="24"/>
          <w:szCs w:val="24"/>
        </w:rPr>
        <w:t xml:space="preserve"> Vitez za 2024. godinu, </w:t>
      </w:r>
      <w:r w:rsidR="008148AE">
        <w:rPr>
          <w:rFonts w:ascii="Tahoma" w:hAnsi="Tahoma" w:cs="Tahoma"/>
          <w:sz w:val="24"/>
          <w:szCs w:val="24"/>
        </w:rPr>
        <w:t>Izvještaj</w:t>
      </w:r>
      <w:r w:rsidRPr="00D223DB">
        <w:rPr>
          <w:rFonts w:ascii="Tahoma" w:hAnsi="Tahoma" w:cs="Tahoma"/>
          <w:sz w:val="24"/>
          <w:szCs w:val="24"/>
        </w:rPr>
        <w:t xml:space="preserve"> o radu JU </w:t>
      </w:r>
      <w:r w:rsidR="008148AE">
        <w:rPr>
          <w:rFonts w:ascii="Tahoma" w:hAnsi="Tahoma" w:cs="Tahoma"/>
          <w:sz w:val="24"/>
          <w:szCs w:val="24"/>
        </w:rPr>
        <w:t>„</w:t>
      </w:r>
      <w:r w:rsidRPr="00D223DB">
        <w:rPr>
          <w:rFonts w:ascii="Tahoma" w:hAnsi="Tahoma" w:cs="Tahoma"/>
          <w:sz w:val="24"/>
          <w:szCs w:val="24"/>
        </w:rPr>
        <w:t>Internacionalna ljekarna/apoteka</w:t>
      </w:r>
      <w:r w:rsidR="008148AE">
        <w:rPr>
          <w:rFonts w:ascii="Tahoma" w:hAnsi="Tahoma" w:cs="Tahoma"/>
          <w:sz w:val="24"/>
          <w:szCs w:val="24"/>
        </w:rPr>
        <w:t>“</w:t>
      </w:r>
      <w:r w:rsidRPr="00D223DB">
        <w:rPr>
          <w:rFonts w:ascii="Tahoma" w:hAnsi="Tahoma" w:cs="Tahoma"/>
          <w:sz w:val="24"/>
          <w:szCs w:val="24"/>
        </w:rPr>
        <w:t xml:space="preserve"> Vitez za 2024. godinu i </w:t>
      </w:r>
      <w:r w:rsidR="008148AE">
        <w:rPr>
          <w:rFonts w:ascii="Tahoma" w:hAnsi="Tahoma" w:cs="Tahoma"/>
          <w:sz w:val="24"/>
          <w:szCs w:val="24"/>
        </w:rPr>
        <w:t>Izvještaj</w:t>
      </w:r>
      <w:r w:rsidR="008148AE" w:rsidRPr="00D223DB">
        <w:rPr>
          <w:rFonts w:ascii="Tahoma" w:hAnsi="Tahoma" w:cs="Tahoma"/>
          <w:sz w:val="24"/>
          <w:szCs w:val="24"/>
        </w:rPr>
        <w:t xml:space="preserve"> </w:t>
      </w:r>
      <w:r w:rsidRPr="00D223DB">
        <w:rPr>
          <w:rFonts w:ascii="Tahoma" w:hAnsi="Tahoma" w:cs="Tahoma"/>
          <w:sz w:val="24"/>
          <w:szCs w:val="24"/>
        </w:rPr>
        <w:t xml:space="preserve">o radu OO Crveni </w:t>
      </w:r>
      <w:r w:rsidR="008148AE">
        <w:rPr>
          <w:rFonts w:ascii="Tahoma" w:hAnsi="Tahoma" w:cs="Tahoma"/>
          <w:sz w:val="24"/>
          <w:szCs w:val="24"/>
        </w:rPr>
        <w:t>krst</w:t>
      </w:r>
      <w:r w:rsidRPr="00D223DB">
        <w:rPr>
          <w:rFonts w:ascii="Tahoma" w:hAnsi="Tahoma" w:cs="Tahoma"/>
          <w:sz w:val="24"/>
          <w:szCs w:val="24"/>
        </w:rPr>
        <w:t xml:space="preserve"> Vitez za 2024. godinu</w:t>
      </w:r>
    </w:p>
    <w:p w14:paraId="36C0D058" w14:textId="77777777" w:rsidR="001A14BB" w:rsidRDefault="001A14BB"/>
    <w:sectPr w:rsidR="001A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51593"/>
    <w:multiLevelType w:val="multilevel"/>
    <w:tmpl w:val="A1EA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26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DB"/>
    <w:rsid w:val="001A14BB"/>
    <w:rsid w:val="00512F8C"/>
    <w:rsid w:val="008148AE"/>
    <w:rsid w:val="00AE5230"/>
    <w:rsid w:val="00D223DB"/>
    <w:rsid w:val="00D3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0E86"/>
  <w15:chartTrackingRefBased/>
  <w15:docId w15:val="{EB22203A-971F-444B-AD19-2237686E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22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2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2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2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2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2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2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2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2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2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2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2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23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23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23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23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23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23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2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22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2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22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2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223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223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223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2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23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2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Križanović</dc:creator>
  <cp:keywords/>
  <dc:description/>
  <cp:lastModifiedBy>Jakov Križanović</cp:lastModifiedBy>
  <cp:revision>3</cp:revision>
  <dcterms:created xsi:type="dcterms:W3CDTF">2025-07-02T06:04:00Z</dcterms:created>
  <dcterms:modified xsi:type="dcterms:W3CDTF">2025-07-02T06:23:00Z</dcterms:modified>
</cp:coreProperties>
</file>